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01" w:history="1">
        <w:r>
          <w:rPr>
            <w:rFonts w:ascii="Arial" w:hAnsi="Arial" w:eastAsia="Arial" w:cs="Arial"/>
            <w:color w:val="155CAA"/>
            <w:u w:val="single"/>
          </w:rPr>
          <w:t xml:space="preserve">1 Lbr VNG, 19-040, Ontbreken tegenkandidaten VNG bestuur en commissies, zaaknr 602457, 20190529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01"/>
      <w:r w:rsidRPr="00A448AC">
        <w:rPr>
          <w:rFonts w:ascii="Arial" w:hAnsi="Arial" w:cs="Arial"/>
          <w:b/>
          <w:bCs/>
          <w:color w:val="303F4C"/>
          <w:lang w:val="en-US"/>
        </w:rPr>
        <w:t>Lbr VNG, 19-040, Ontbreken tegenkandidaten VNG bestuur en commissies, zaaknr 602457, 20190529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20-06-2019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19-040, Ontbreken tegenkandidaten VNG bestuur en commissies, zaaknr 602457, 20190529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40-Ontbreken-tegenkandidaten-VNG-bestuur-en-commissies-zaaknr-602457-201905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