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1" w:history="1">
        <w:r>
          <w:rPr>
            <w:rFonts w:ascii="Arial" w:hAnsi="Arial" w:eastAsia="Arial" w:cs="Arial"/>
            <w:color w:val="155CAA"/>
            <w:u w:val="single"/>
          </w:rPr>
          <w:t xml:space="preserve">1 Lbr VNG 19-027, LOGA Vervallen functie manschap B in vergoedingentabel CAR-UWO, zaaknr 601378, 20190506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1"/>
      <w:r w:rsidRPr="00A448AC">
        <w:rPr>
          <w:rFonts w:ascii="Arial" w:hAnsi="Arial" w:cs="Arial"/>
          <w:b/>
          <w:bCs/>
          <w:color w:val="303F4C"/>
          <w:lang w:val="en-US"/>
        </w:rPr>
        <w:t>Lbr VNG 19-027, LOGA Vervallen functie manschap B in vergoedingentabel CAR-UWO, zaaknr 601378, 20190506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19-027, LOGA Vervallen functie manschap B in vergoedingentabel CAR-UWO, zaaknr 601378, 20190506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27-LOGA-Vervallen-functie-manschap-B-in-vergoedingentabel-CAR-UWO-zaaknr-601378-20190506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