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8" w:history="1">
        <w:r>
          <w:rPr>
            <w:rFonts w:ascii="Arial" w:hAnsi="Arial" w:eastAsia="Arial" w:cs="Arial"/>
            <w:color w:val="155CAA"/>
            <w:u w:val="single"/>
          </w:rPr>
          <w:t xml:space="preserve">1 Lbr VNG 19-020, Herziening Gemeentefonds, zaaknr 601063, 20190429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8"/>
      <w:r w:rsidRPr="00A448AC">
        <w:rPr>
          <w:rFonts w:ascii="Arial" w:hAnsi="Arial" w:cs="Arial"/>
          <w:b/>
          <w:bCs/>
          <w:color w:val="303F4C"/>
          <w:lang w:val="en-US"/>
        </w:rPr>
        <w:t>Lbr VNG 19-020, Herziening Gemeentefonds, zaaknr 601063, 20190429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19-020, Herziening Gemeentefonds, zaaknr 601063, 20190429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20-Herziening-Gemeentefonds-zaaknr-601063-201904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