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19:00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58" w:history="1">
        <w:r>
          <w:rPr>
            <w:rFonts w:ascii="Arial" w:hAnsi="Arial" w:eastAsia="Arial" w:cs="Arial"/>
            <w:color w:val="155CAA"/>
            <w:u w:val="single"/>
          </w:rPr>
          <w:t xml:space="preserve">1 Lbr VNG, 19-012, Bekendmaking invulling vacatures VNG bestuur en commissies en openstelling nwe vacatures, zaaknr 598902, 20190319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58"/>
      <w:r w:rsidRPr="00A448AC">
        <w:rPr>
          <w:rFonts w:ascii="Arial" w:hAnsi="Arial" w:cs="Arial"/>
          <w:b/>
          <w:bCs/>
          <w:color w:val="303F4C"/>
          <w:lang w:val="en-US"/>
        </w:rPr>
        <w:t>Lbr VNG, 19-012, Bekendmaking invulling vacatures VNG bestuur en commissies en openstelling nwe vacatures, zaaknr 598902, 20190319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16-04-2019 12:17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19-012, Bekendmaking invulling vacatures VNG bestuur en commissies en openstelling nwe vacatures, zaaknr 598902, 20190319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632,93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12-Bekendmaking-invulling-vacatures-VNG-bestuur-en-commissies-en-openstelling-nwe-vacatures-zaaknr-598902-201903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