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5" w:history="1">
        <w:r>
          <w:rPr>
            <w:rFonts w:ascii="Arial" w:hAnsi="Arial" w:eastAsia="Arial" w:cs="Arial"/>
            <w:color w:val="155CAA"/>
            <w:u w:val="single"/>
          </w:rPr>
          <w:t xml:space="preserve">1 Lbr VNG 19-003, Openstelling-vacatures-vng-bestuur-en-commissies, zaaknr 595572, 20190110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5"/>
      <w:r w:rsidRPr="00A448AC">
        <w:rPr>
          <w:rFonts w:ascii="Arial" w:hAnsi="Arial" w:cs="Arial"/>
          <w:b/>
          <w:bCs/>
          <w:color w:val="303F4C"/>
          <w:lang w:val="en-US"/>
        </w:rPr>
        <w:t>Lbr VNG 19-003, Openstelling-vacatures-vng-bestuur-en-commissies, zaaknr 595572, 20190110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19-003, Openstelling-vacatures-vng-bestuur-en-commissies, zaaknr 595572, 20190110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03-Openstelling-vacatures-vng-bestuur-en-commissies-zaaknr-595572-20190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