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34" w:history="1">
        <w:r>
          <w:rPr>
            <w:rFonts w:ascii="Arial" w:hAnsi="Arial" w:eastAsia="Arial" w:cs="Arial"/>
            <w:color w:val="155CAA"/>
            <w:u w:val="single"/>
          </w:rPr>
          <w:t xml:space="preserve">1 Lbr VNG 19-002, Standaardverklaring Baseline Informatiebeveiliging Overheid, zaaknr 595447, 20190110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34"/>
      <w:r w:rsidRPr="00A448AC">
        <w:rPr>
          <w:rFonts w:ascii="Arial" w:hAnsi="Arial" w:cs="Arial"/>
          <w:b/>
          <w:bCs/>
          <w:color w:val="303F4C"/>
          <w:lang w:val="en-US"/>
        </w:rPr>
        <w:t>Lbr VNG 19-002, Standaardverklaring Baseline Informatiebeveiliging Overheid, zaaknr 595447, 20190110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29-01-2019 12:34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19-002, Standaardverklaring Baseline Informatiebeveiliging Overheid, zaaknr 595447, 20190110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02-Standaardverklaring-Baseline-Informatiebeveiliging-Overheid-zaaknr-595447-201901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