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15:08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791" w:history="1">
        <w:r>
          <w:rPr>
            <w:rFonts w:ascii="Arial" w:hAnsi="Arial" w:eastAsia="Arial" w:cs="Arial"/>
            <w:color w:val="155CAA"/>
            <w:u w:val="single"/>
          </w:rPr>
          <w:t xml:space="preserve">1 Lbr VNG, 18-058,  Pinbeleid bij gemeenten, zaaknr 591920, 20181022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791"/>
      <w:r w:rsidRPr="00A448AC">
        <w:rPr>
          <w:rFonts w:ascii="Arial" w:hAnsi="Arial" w:cs="Arial"/>
          <w:b/>
          <w:bCs/>
          <w:color w:val="303F4C"/>
          <w:lang w:val="en-US"/>
        </w:rPr>
        <w:t>Lbr VNG, 18-058,  Pinbeleid bij gemeenten, zaaknr 591920, 20181022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27-11-2018 10:55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18-058,  Pinbeleid bij gemeenten, zaaknr 591920, 20181022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22-10-2018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249,66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18-058-Pinbeleid-bij-gemeenten-zaaknr-591920-201810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