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0" w:history="1">
        <w:r>
          <w:rPr>
            <w:rFonts w:ascii="Arial" w:hAnsi="Arial" w:eastAsia="Arial" w:cs="Arial"/>
            <w:color w:val="155CAA"/>
            <w:u w:val="single"/>
          </w:rPr>
          <w:t xml:space="preserve">1 Lbr LOGA, 25-002, Ontslagcommissie en premie reparatie uitkering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0"/>
      <w:r w:rsidRPr="00A448AC">
        <w:rPr>
          <w:rFonts w:ascii="Arial" w:hAnsi="Arial" w:cs="Arial"/>
          <w:b/>
          <w:bCs/>
          <w:color w:val="303F4C"/>
          <w:lang w:val="en-US"/>
        </w:rPr>
        <w:t>Lbr LOGA, 25-002, Ontslagcommissie en premie reparatie uitkering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LOGA, 25-002, Ontslagcommissie en premie reparatie uitkering, 20250127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LOGA-25-002-Ontslagcommissie-en-premie-reparatie-uitkering-2025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