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90" text:style-name="Internet_20_link" text:visited-style-name="Visited_20_Internet_20_Link">
              <text:span text:style-name="ListLabel_20_28">
                <text:span text:style-name="T8">1 Lbr LOGA, 25-002, Ontslagcommissie en premie reparatie uitkering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90"/>
        Lbr LOGA, 25-002, Ontslagcommissie en premie reparatie uitkering
        <text:bookmark-end text:name="436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28-01-2025 18:08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LOGA, 25-002, Ontslagcommissie en premie reparatie uitkering, 20250127
              <text:span text:style-name="T3"/>
            </text:p>
            <text:p text:style-name="P7"/>
          </table:table-cell>
          <table:table-cell table:style-name="Table4.A2" office:value-type="string">
            <text:p text:style-name="P8">28-01-2025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202,17 KB</text:p>
          </table:table-cell>
          <table:table-cell table:style-name="Table4.A2" office:value-type="string">
            <text:p text:style-name="P33">
              <text:a xlink:type="simple" xlink:href="https://ris.dalfsen.nl//Raadsinformatie/Bijlage/Lbr-LOGA-25-002-Ontslagcommissie-en-premie-reparatie-uitkering-2025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67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