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91" w:history="1">
        <w:r>
          <w:rPr>
            <w:rFonts w:ascii="Arial" w:hAnsi="Arial" w:eastAsia="Arial" w:cs="Arial"/>
            <w:color w:val="155CAA"/>
            <w:u w:val="single"/>
          </w:rPr>
          <w:t xml:space="preserve">1 GGD IJsselland, Bestuurlijke agenda Publieke Gezondheid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91"/>
      <w:r w:rsidRPr="00A448AC">
        <w:rPr>
          <w:rFonts w:ascii="Arial" w:hAnsi="Arial" w:cs="Arial"/>
          <w:b/>
          <w:bCs/>
          <w:color w:val="303F4C"/>
          <w:lang w:val="en-US"/>
        </w:rPr>
        <w:t>GGD IJsselland, Bestuurlijke agenda Publieke Gezondheid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16-03-2023 11:33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GGD IJsselland, Bestuurlijke agenda Publieke Gezondheid, 20230316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498,83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GGD-IJsselland-Bestuurlijke-agenda-Publieke-Gezondheid-202303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