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00:32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69" text:style-name="Internet_20_link" text:visited-style-name="Visited_20_Internet_20_Link">
              <text:span text:style-name="ListLabel_20_28">
                <text:span text:style-name="T8">1 Brf van 7 bouw- en infraorganisaties, Vergunningverlening en stikstofproblematiek, zaaknr 609280, 20191017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69"/>
        Brf van 7 bouw- en infraorganisaties, Vergunningverlening en stikstofproblematiek, zaaknr 609280, 20191017
        <text:bookmark-end text:name="4196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16-12-2019 10:13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van 7 bouw- en infraorganisaties, Vergunningverlening en stikstofproblematiek, zaaknr 609280, 20191017
              <text:span text:style-name="T3"/>
            </text:p>
            <text:p text:style-name="P7"/>
          </table:table-cell>
          <table:table-cell table:style-name="Table4.A2" office:value-type="string">
            <text:p text:style-name="P8">17-10-2019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3,48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van-7-bouw-en-infraorganisaties-Vergunningverlening-en-stikstofproblematiek-zaaknr-609280-201910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7" meta:character-count="581" meta:non-whitespace-character-count="53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2073350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2073350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