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2" w:history="1">
        <w:r>
          <w:rPr>
            <w:rFonts w:ascii="Arial" w:hAnsi="Arial" w:eastAsia="Arial" w:cs="Arial"/>
            <w:color w:val="155CAA"/>
            <w:u w:val="single"/>
          </w:rPr>
          <w:t xml:space="preserve">1 Brf gemeente Ommen, Beleidswijzigingen wind- en zonne-energie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2"/>
      <w:r w:rsidRPr="00A448AC">
        <w:rPr>
          <w:rFonts w:ascii="Arial" w:hAnsi="Arial" w:cs="Arial"/>
          <w:b/>
          <w:bCs/>
          <w:color w:val="303F4C"/>
          <w:lang w:val="en-US"/>
        </w:rPr>
        <w:t>Brf gemeente Ommen, Beleidswijzigingen wind- en zonne-energie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 Ommen, Beleidswijzigingen wind- en zonne-energie,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emeente-Ommen-Beleidswijzigingen-wind-en-zonne-energie-20231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