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02:03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62" text:style-name="Internet_20_link" text:visited-style-name="Visited_20_Internet_20_Link">
              <text:span text:style-name="ListLabel_20_28">
                <text:span text:style-name="T8">1 Brf gemeente Ommen, Beleidswijzigingen wind- en zonne-energie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62"/>
        Brf gemeente Ommen, Beleidswijzigingen wind- en zonne-energie
        <text:bookmark-end text:name="4326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31-10-2023 12:25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gemeente Ommen, Beleidswijzigingen wind- en zonne-energie, 20231031
              <text:span text:style-name="T3"/>
            </text:p>
            <text:p text:style-name="P7"/>
          </table:table-cell>
          <table:table-cell table:style-name="Table4.A2" office:value-type="string">
            <text:p text:style-name="P8">31-10-2023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126,60 KB</text:p>
          </table:table-cell>
          <table:table-cell table:style-name="Table4.A2" office:value-type="string">
            <text:p text:style-name="P33">
              <text:a xlink:type="simple" xlink:href="https://ris.dalfsen.nl//Raadsinformatie/Bijlage/Brf-gemeente-Ommen-Beleidswijzigingen-wind-en-zonne-energie-202310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58" meta:non-whitespace-character-count="4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136115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136115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