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26-06-2025 07:57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120" w:history="1">
        <w:r>
          <w:rPr>
            <w:rFonts w:ascii="Arial" w:hAnsi="Arial" w:eastAsia="Arial" w:cs="Arial"/>
            <w:color w:val="155CAA"/>
            <w:u w:val="single"/>
          </w:rPr>
          <w:t xml:space="preserve">1 Brf, Veiligheidsregio IJsselland, Jaarstukken 2022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120"/>
      <w:r w:rsidRPr="00A448AC">
        <w:rPr>
          <w:rFonts w:ascii="Arial" w:hAnsi="Arial" w:cs="Arial"/>
          <w:b/>
          <w:bCs/>
          <w:color w:val="303F4C"/>
          <w:lang w:val="en-US"/>
        </w:rPr>
        <w:t>Brf, Veiligheidsregio IJsselland, Jaarstukken 2022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17-04-2023 16:48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(2)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Veiligheidsregio IJsselland, Jaarstukken 2022, 20230417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17-04-2023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4,89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Veiligheidsregio IJsselland, Controleverklaring jaarstukken 2022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17-04-2023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204,36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Veiligheidsregio-IJsselland-Jaarstukken-2022-20230417.pdf" TargetMode="External" /><Relationship Id="rId25" Type="http://schemas.openxmlformats.org/officeDocument/2006/relationships/hyperlink" Target="https://ris.dalfsen.nl//Raadsinformatie/Bijlage/Veiligheidsregio-IJsselland-Controleverklaring-jaarstukken-202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