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28-06-2025 09:25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651" text:style-name="Internet_20_link" text:visited-style-name="Visited_20_Internet_20_Link">
              <text:span text:style-name="ListLabel_20_28">
                <text:span text:style-name="T8">1 Brf VPPG, Uitspraak Rechtbank Noord-Holland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651"/>
        Brf VPPG, Uitspraak Rechtbank Noord-Holland
        <text:bookmark-end text:name="4365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25-11-2024 16:25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VPPG, Uitspraak Rechtbank Noord-Holland, 20241125
              <text:span text:style-name="T3"/>
            </text:p>
            <text:p text:style-name="P7"/>
          </table:table-cell>
          <table:table-cell table:style-name="Table4.A2" office:value-type="string">
            <text:p text:style-name="P8">25-11-2024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206,68 KB</text:p>
          </table:table-cell>
          <table:table-cell table:style-name="Table4.A2" office:value-type="string">
            <text:p text:style-name="P33">
              <text:a xlink:type="simple" xlink:href="https://ris.dalfsen.nl//Raadsinformatie/Bijlage/Brf-VPPG-Uitspraak-Rechtbank-Noord-Holland-202411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7" meta:character-count="404" meta:non-whitespace-character-count="3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894352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894352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