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3" w:history="1">
        <w:r>
          <w:rPr>
            <w:rFonts w:ascii="Arial" w:hAnsi="Arial" w:eastAsia="Arial" w:cs="Arial"/>
            <w:color w:val="155CAA"/>
            <w:u w:val="single"/>
          </w:rPr>
          <w:t xml:space="preserve">1 Brf VNG, Rapport AEF Financiële consequenties corona, zaaknr 621463, 20200721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3"/>
      <w:r w:rsidRPr="00A448AC">
        <w:rPr>
          <w:rFonts w:ascii="Arial" w:hAnsi="Arial" w:cs="Arial"/>
          <w:b/>
          <w:bCs/>
          <w:color w:val="303F4C"/>
          <w:lang w:val="en-US"/>
        </w:rPr>
        <w:t>Brf VNG, Rapport AEF Financiële consequenties corona, zaaknr 621463,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Rapport AEF Financiële consequenties corona, zaaknr 621463,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VNG-Rapport-AEF-Financiele-consequenties-corona-zaaknr-621463-2020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