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06:14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70" w:history="1">
        <w:r>
          <w:rPr>
            <w:rFonts w:ascii="Arial" w:hAnsi="Arial" w:eastAsia="Arial" w:cs="Arial"/>
            <w:color w:val="155CAA"/>
            <w:u w:val="single"/>
          </w:rPr>
          <w:t xml:space="preserve">1 Brf VNG Overijssel, Maatschappelijke gevolgen vd financiële situatie Overijsselse gemeenten en oplossingsrichting, zaaknr 609312, 20191017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70"/>
      <w:r w:rsidRPr="00A448AC">
        <w:rPr>
          <w:rFonts w:ascii="Arial" w:hAnsi="Arial" w:cs="Arial"/>
          <w:b/>
          <w:bCs/>
          <w:color w:val="303F4C"/>
          <w:lang w:val="en-US"/>
        </w:rPr>
        <w:t>Brf VNG Overijssel, Maatschappelijke gevolgen vd financiële situatie Overijsselse gemeenten en oplossingsrichting, zaaknr 609312, 20191017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VNG Overijssel, Maatschappelijke gevolgen vd financiële situatie Overijsselse gemeenten en oplossingsrichting, zaaknr 609312, 20191017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405,43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VNG-Overijssel-Maatschappelijke-gevolgen-vd-financiele-situatie-Overijsselse-gemeenten-en-oplossingsrichting-zaaknr-609312-201910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