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10:56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0" w:history="1">
        <w:r>
          <w:rPr>
            <w:rFonts w:ascii="Arial" w:hAnsi="Arial" w:eastAsia="Arial" w:cs="Arial"/>
            <w:color w:val="155CAA"/>
            <w:u w:val="single"/>
          </w:rPr>
          <w:t xml:space="preserve">1 Brf Unicef, Kinderrechten in verkiezingsprogramma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0"/>
      <w:r w:rsidRPr="00A448AC">
        <w:rPr>
          <w:rFonts w:ascii="Arial" w:hAnsi="Arial" w:cs="Arial"/>
          <w:b/>
          <w:bCs/>
          <w:color w:val="303F4C"/>
          <w:lang w:val="en-US"/>
        </w:rPr>
        <w:t>Brf Unicef, Kinderrechten in verkiezingsprogramma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15:45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Unicef, Kinderrechten in verkiezingsprogramma,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147,20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Unicef-Kinderrechten-in-verkiezingsprogramma-202504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