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86" w:history="1">
        <w:r>
          <w:rPr>
            <w:rFonts w:ascii="Arial" w:hAnsi="Arial" w:eastAsia="Arial" w:cs="Arial"/>
            <w:color w:val="155CAA"/>
            <w:u w:val="single"/>
          </w:rPr>
          <w:t xml:space="preserve">1 Brf TPSolar, Reactie op Nota van Zienswijzen dd 11 feb 2021, zaaknr 626062, 20210316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86"/>
      <w:r w:rsidRPr="00A448AC">
        <w:rPr>
          <w:rFonts w:ascii="Arial" w:hAnsi="Arial" w:cs="Arial"/>
          <w:b/>
          <w:bCs/>
          <w:color w:val="303F4C"/>
          <w:lang w:val="en-US"/>
        </w:rPr>
        <w:t>Brf TPSolar, Reactie op Nota van Zienswijzen dd 11 feb 2021, zaaknr 626062, 20210316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TPSolar, Reactie op Nota van Zienswijzen dd 11 feb 2021, zaaknr 626062, 20210316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TPSolar-Reactie-op-Nota-van-Zienswijzen-dd-11-feb-2021-zaaknr-626062-202103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