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50" w:history="1">
        <w:r>
          <w:rPr>
            <w:rFonts w:ascii="Arial" w:hAnsi="Arial" w:eastAsia="Arial" w:cs="Arial"/>
            <w:color w:val="155CAA"/>
            <w:u w:val="single"/>
          </w:rPr>
          <w:t xml:space="preserve">1 Brf T. Derks BillyBird, Recreatieparken, Waterstof en energietransitie, zaaknr 598010, 20190304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50"/>
      <w:r w:rsidRPr="00A448AC">
        <w:rPr>
          <w:rFonts w:ascii="Arial" w:hAnsi="Arial" w:cs="Arial"/>
          <w:b/>
          <w:bCs/>
          <w:color w:val="303F4C"/>
          <w:lang w:val="en-US"/>
        </w:rPr>
        <w:t>Brf T. Derks BillyBird, Recreatieparken, Waterstof en energietransitie, zaaknr 598010, 20190304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26-03-2019 12:05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T. Derks BillyBird, Recreatieparken, Waterstof en energietransitie, zaaknr 598010, 20190304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T-Derks-BillyBird-Recreatieparken-Waterstof-en-energietransitie-zaaknr-598010-201903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