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08:55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32" text:style-name="Internet_20_link" text:visited-style-name="Visited_20_Internet_20_Link">
              <text:span text:style-name="ListLabel_20_28">
                <text:span text:style-name="T8">1 Brf Stimuland, Participatie voor een gedragen omgevingsvisie, zaaknr 632958, 20210422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32"/>
        Brf Stimuland, Participatie voor een gedragen omgevingsvisie, zaaknr 632958, 20210422
        <text:bookmark-end text:name="4243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27-05-2021 11:05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Stimuland, Participatie voor een gedragen omgevingsvisie, zaaknr 632958, 20210422
              <text:span text:style-name="T3"/>
            </text:p>
            <text:p text:style-name="P7"/>
          </table:table-cell>
          <table:table-cell table:style-name="Table4.A2" office:value-type="string">
            <text:p text:style-name="P8">22-04-2021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906,83 KB</text:p>
          </table:table-cell>
          <table:table-cell table:style-name="Table4.A2" office:value-type="string">
            <text:p text:style-name="P33">
              <text:a xlink:type="simple" xlink:href="https://ris.dalfsen.nl//Raadsinformatie/Bijlage/Brf-Stimuland-Participatie-voor-een-gedragen-omgevingsvisie-zaaknr-632958-202104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1" meta:character-count="520" meta:non-whitespace-character-count="47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1461650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1461650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