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0" w:history="1">
        <w:r>
          <w:rPr>
            <w:rFonts w:ascii="Arial" w:hAnsi="Arial" w:eastAsia="Arial" w:cs="Arial"/>
            <w:color w:val="155CAA"/>
            <w:u w:val="single"/>
          </w:rPr>
          <w:t xml:space="preserve">1 Brf Stichting EHS, VN-verdrag Handicap en elektrogevoeligen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0"/>
      <w:r w:rsidRPr="00A448AC">
        <w:rPr>
          <w:rFonts w:ascii="Arial" w:hAnsi="Arial" w:cs="Arial"/>
          <w:b/>
          <w:bCs/>
          <w:color w:val="303F4C"/>
          <w:lang w:val="en-US"/>
        </w:rPr>
        <w:t>Brf Stichting EHS, VN-verdrag Handicap en elektrogevoeligen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10:56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EHS, VN-verdrag Handicap en elektrogevoeligen, 20250606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Stichting-EHS-VN-verdrag-Handicap-en-elektrogevoeligen-202506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