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50" text:style-name="Internet_20_link" text:visited-style-name="Visited_20_Internet_20_Link">
              <text:span text:style-name="ListLabel_20_28">
                <text:span text:style-name="T8">1 Brf Stichting EHS, VN-verdrag Handicap en elektrogevoeligen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0"/>
        Brf Stichting EHS, VN-verdrag Handicap en elektrogevoeligen
        <text:bookmark-end text:name="438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06-06-2025 10:56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EHS, VN-verdrag Handicap en elektrogevoeligen, 20250606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37,07 KB</text:p>
          </table:table-cell>
          <table:table-cell table:style-name="Table4.A2" office:value-type="string">
            <text:p text:style-name="P33">
              <text:a xlink:type="simple" xlink:href="https://ris.dalfsen.nl//Raadsinformatie/Brf-Stichting-EHS-VN-verdrag-Handicap-en-elektrogevoeligen-202506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51" meta:non-whitespace-character-count="4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