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36" w:history="1">
        <w:r>
          <w:rPr>
            <w:rFonts w:ascii="Arial" w:hAnsi="Arial" w:eastAsia="Arial" w:cs="Arial"/>
            <w:color w:val="155CAA"/>
            <w:u w:val="single"/>
          </w:rPr>
          <w:t xml:space="preserve">1 Brf St NL Haarden- en Kachelbranche, rapport basis voor beleid houtstook en luchtkwaliteit, zaaknr 633090, 20210430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36"/>
      <w:r w:rsidRPr="00A448AC">
        <w:rPr>
          <w:rFonts w:ascii="Arial" w:hAnsi="Arial" w:cs="Arial"/>
          <w:b/>
          <w:bCs/>
          <w:color w:val="303F4C"/>
          <w:lang w:val="en-US"/>
        </w:rPr>
        <w:t>Brf St NL Haarden- en Kachelbranche, rapport basis voor beleid houtstook en luchtkwaliteit, zaaknr 633090, 20210430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 NL Haarden- en Kachelbranche, rapport basis voor beleid houtstook en luchtkwaliteit, zaaknr 633090, 20210430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St-NL-Haarden-en-Kachelbranche-rapport-basis-voor-beleid-houtstook-en-luchtkwaliteit-zaaknr-633090-2021043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