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47" text:style-name="Internet_20_link" text:visited-style-name="Visited_20_Internet_20_Link">
              <text:span text:style-name="ListLabel_20_28">
                <text:span text:style-name="T8">1 Brf RvS, Uitspraak beroepsprocedure BP 24e herz Kernen Burg. Backxlaan 35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47"/>
        Brf RvS, Uitspraak beroepsprocedure BP 24e herz Kernen Burg. Backxlaan 35
        <text:bookmark-end text:name="436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21-11-2024 18:38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RvS, Uitspraak beroepsprocedure BP 24e herz Kernen Burg. Backxlaan 35, 20241121
              <text:span text:style-name="T3"/>
            </text:p>
            <text:p text:style-name="P7"/>
          </table:table-cell>
          <table:table-cell table:style-name="Table4.A2" office:value-type="string">
            <text:p text:style-name="P8">21-11-2024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302,99 KB</text:p>
          </table:table-cell>
          <table:table-cell table:style-name="Table4.A2" office:value-type="string">
            <text:p text:style-name="P33">
              <text:a xlink:type="simple" xlink:href="https://ris.dalfsen.nl//Raadsinformatie/Bijlage/Brf-RvS-Uitspraak-beroepsprocedure-BP-24e-herz-Kernen-Burg-Backxlaan-35-20241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5" meta:character-count="494" meta:non-whitespace-character-count="4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370085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370085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