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73" text:style-name="Internet_20_link" text:visited-style-name="Visited_20_Internet_20_Link">
              <text:span text:style-name="ListLabel_20_28">
                <text:span text:style-name="T8">1 Brf Ruimte voor de Vecht, Magazine Brede Welvaart in het Vechtdal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73"/>
        Brf Ruimte voor de Vecht, Magazine Brede Welvaart in het Vechtdal
        <text:bookmark-end text:name="438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30-06-2025 12:45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Ruimte voor de Vecht, Magazine Brede Welvaart in het Vechtdal, 20250630
              <text:span text:style-name="T3"/>
            </text:p>
            <text:p text:style-name="P7"/>
          </table:table-cell>
          <table:table-cell table:style-name="Table4.A2" office:value-type="string">
            <text:p text:style-name="P8">30-06-2025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6,36 MB</text:p>
          </table:table-cell>
          <table:table-cell table:style-name="Table4.A2" office:value-type="string">
            <text:p text:style-name="P33">
              <text:a xlink:type="simple" xlink:href="https://ris.dalfsen.nl//Raadsinformatie/Brf-Ruimte-voor-de-Vecht-Magazine-Brede-Welvaart-in-het-Vechtdal-202506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5" meta:character-count="468" meta:non-whitespace-character-count="4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380081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380081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