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23-05-2025 17:22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808" w:history="1">
        <w:r>
          <w:rPr>
            <w:rFonts w:ascii="Arial" w:hAnsi="Arial" w:eastAsia="Arial" w:cs="Arial"/>
            <w:color w:val="155CAA"/>
            <w:u w:val="single"/>
          </w:rPr>
          <w:t xml:space="preserve">1 Brf RSJ IJsselland, Jaarverslag en jaarrekening 2024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808"/>
      <w:r w:rsidRPr="00A448AC">
        <w:rPr>
          <w:rFonts w:ascii="Arial" w:hAnsi="Arial" w:cs="Arial"/>
          <w:b/>
          <w:bCs/>
          <w:color w:val="303F4C"/>
          <w:lang w:val="en-US"/>
        </w:rPr>
        <w:t>Brf RSJ IJsselland, Jaarverslag en jaarrekening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 17:05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RSJ IJsselland, Jaarverslag en jaarrekening 2024, 20250508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4,07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RSJ-IJsselland-Jaarverslag-en-jaarrekening-2024-202505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