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87" text:style-name="Internet_20_link" text:visited-style-name="Visited_20_Internet_20_Link">
              <text:span text:style-name="ListLabel_20_28">
                <text:span text:style-name="T8">1 Brf RKC, Onderzoeksprogramma rekenkamercommissie, zaaknr 600956, 20190425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87"/>
        Brf RKC, Onderzoeksprogramma rekenkamercommissie, zaaknr 600956, 20190425
        <text:bookmark-end text:name="4188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RKC, Onderzoeksprogramma rekenkamercommissie, zaaknr 600956, 20190425
              <text:span text:style-name="T3"/>
            </text:p>
            <text:p text:style-name="P7"/>
          </table:table-cell>
          <table:table-cell table:style-name="Table4.A2" office:value-type="string">
            <text:p text:style-name="P8">25-04-2019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392,49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RKC-Onderzoeksprogramma-rekenkamercommissie-zaaknr-600956-201904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4" meta:non-whitespace-character-count="4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1060965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1060965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