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27-06-2025 13:44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06" text:style-name="Internet_20_link" text:visited-style-name="Visited_20_Internet_20_Link">
              <text:span text:style-name="ListLabel_20_28">
                <text:span text:style-name="T8">1 Brf Provincie Overijssel, Terugblik Ruimte voor de Vecht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06"/>
        Brf Provincie Overijssel, Terugblik Ruimte voor de Vecht 2023
        <text:bookmark-end text:name="4350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03-06-2024 17:25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Provincie Overijssel, Terugblik Ruimte voor de Vecht 2023, 20240603
              <text:span text:style-name="T3"/>
            </text:p>
            <text:p text:style-name="P7"/>
          </table:table-cell>
          <table:table-cell table:style-name="Table4.A2" office:value-type="string">
            <text:p text:style-name="P8">03-06-2024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17,07 MB</text:p>
          </table:table-cell>
          <table:table-cell table:style-name="Table4.A2" office:value-type="string">
            <text:p text:style-name="P33">
              <text:a xlink:type="simple" xlink:href="https://ris.dalfsen.nl//Raadsinformatie/Bijlage/Brf-Provincie-Overijssel-Terugblik-Ruimte-voor-de-Vecht-2023-202406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9" meta:character-count="457" meta:non-whitespace-character-count="4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2084845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2084845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