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0" w:history="1">
        <w:r>
          <w:rPr>
            <w:rFonts w:ascii="Arial" w:hAnsi="Arial" w:eastAsia="Arial" w:cs="Arial"/>
            <w:color w:val="155CAA"/>
            <w:u w:val="single"/>
          </w:rPr>
          <w:t xml:space="preserve">1 Brf Platform Cannabisondernemingen NL, Sociaal jaarverslag 2023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0"/>
      <w:r w:rsidRPr="00A448AC">
        <w:rPr>
          <w:rFonts w:ascii="Arial" w:hAnsi="Arial" w:cs="Arial"/>
          <w:b/>
          <w:bCs/>
          <w:color w:val="303F4C"/>
          <w:lang w:val="en-US"/>
        </w:rPr>
        <w:t>Brf Platform Cannabisondernemingen NL, Sociaal jaarverslag 2023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PCN, Sociaal jaarverslag 2023,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11,51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CN-Sociaal-jaarverslag-2023-202406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