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44" w:history="1">
        <w:r>
          <w:rPr>
            <w:rFonts w:ascii="Arial" w:hAnsi="Arial" w:eastAsia="Arial" w:cs="Arial"/>
            <w:color w:val="155CAA"/>
            <w:u w:val="single"/>
          </w:rPr>
          <w:t xml:space="preserve">1 Brf Overijsselse Ombudscommissie, Jaarverslag 2018, nr 596515, 20190131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44"/>
      <w:r w:rsidRPr="00A448AC">
        <w:rPr>
          <w:rFonts w:ascii="Arial" w:hAnsi="Arial" w:cs="Arial"/>
          <w:b/>
          <w:bCs/>
          <w:color w:val="303F4C"/>
          <w:lang w:val="en-US"/>
        </w:rPr>
        <w:t>Brf Overijsselse Ombudscommissie, Jaarverslag 2018, nr 596515, 20190131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Overijsselse Ombudscommissie, Jaarverslag 2018, nr 596515, 20190131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701,85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Overijsselse-Ombudscommissie-Jaarverslag-2018-nr-596515-201901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