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09:06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59" text:style-name="Internet_20_link" text:visited-style-name="Visited_20_Internet_20_Link">
              <text:span text:style-name="ListLabel_20_28">
                <text:span text:style-name="T8">1 Brf OpenEmbassy, Input verkiezingsprogramma- Meedoen vanaf dag één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59"/>
        Brf OpenEmbassy, Input verkiezingsprogramma- Meedoen vanaf dag één
        <text:bookmark-end text:name="438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12-06-2025 12:10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OpenEmbassy, Input verkiezingsprogramma- Meedoen vanaf dag één, 20250612
              <text:span text:style-name="T3"/>
            </text:p>
            <text:p text:style-name="P7"/>
          </table:table-cell>
          <table:table-cell table:style-name="Table4.A2" office:value-type="string">
            <text:p text:style-name="P8">12-06-2025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225,44 KB</text:p>
          </table:table-cell>
          <table:table-cell table:style-name="Table4.A2" office:value-type="string">
            <text:p text:style-name="P33">
              <text:a xlink:type="simple" xlink:href="https://ris.dalfsen.nl//Raadsinformatie/Brf-OpenEmbassy-Input-verkiezingsprogramma-Meedoen-vanaf-dag-een-202506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73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1434075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1434075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