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15:36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931" w:history="1">
        <w:r>
          <w:rPr>
            <w:rFonts w:ascii="Arial" w:hAnsi="Arial" w:eastAsia="Arial" w:cs="Arial"/>
            <w:color w:val="155CAA"/>
            <w:u w:val="single"/>
          </w:rPr>
          <w:t xml:space="preserve">1 Brf Nederlandse Vereniging tot bevordering van de Zondagsrust, Ontheffing Zondagswet, zaaknr 669112, 20220830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931"/>
      <w:r w:rsidRPr="00A448AC">
        <w:rPr>
          <w:rFonts w:ascii="Arial" w:hAnsi="Arial" w:cs="Arial"/>
          <w:b/>
          <w:bCs/>
          <w:color w:val="303F4C"/>
          <w:lang w:val="en-US"/>
        </w:rPr>
        <w:t>Brf Nederlandse Vereniging tot bevordering van de Zondagsrust, Ontheffing Zondagswet, zaaknr 669112, 20220830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29-09-2022 14:08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Nederlandse Vereniging tot bevordering van de Zondagsrust, Ontheffing Zondagswet, zaaknr 669112, 20220830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30-08-2022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85,57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Nederlandse-Vereniging-tot-bevordering-van-de-Zondagsrust-Ontheffing-Zondagswet-zaaknr-669112-202208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