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11" text:style-name="Internet_20_link" text:visited-style-name="Visited_20_Internet_20_Link">
              <text:span text:style-name="ListLabel_20_28">
                <text:span text:style-name="T8">1 Brf NVvR, Burgemeestersbenoeming, wat is uw rol als raadslid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11"/>
        Brf NVvR, Burgemeestersbenoeming, wat is uw rol als raadslid
        <text:bookmark-end text:name="436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14-10-2024 17:54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NVvR, Burgemeestersbenoeming, wat is uw rol als raadslid, 20241014
              <text:span text:style-name="T3"/>
            </text:p>
            <text:p text:style-name="P7"/>
          </table:table-cell>
          <table:table-cell table:style-name="Table4.A2" office:value-type="string">
            <text:p text:style-name="P8">14-10-2024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7,73 MB</text:p>
          </table:table-cell>
          <table:table-cell table:style-name="Table4.A2" office:value-type="string">
            <text:p text:style-name="P33">
              <text:a xlink:type="simple" xlink:href="https://ris.dalfsen.nl//Raadsinformatie/Bijlage/Brf-NVvR-Burgemeestersbenoeming-wat-is-uw-rol-als-raadslid-202410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9" meta:character-count="453" meta:non-whitespace-character-count="4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1432651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1432651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