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2" text:style-name="Internet_20_link" text:visited-style-name="Visited_20_Internet_20_Link">
              <text:span text:style-name="ListLabel_20_28">
                <text:span text:style-name="T8">1 Brf Ministerie BZK, Verhouding ambtsgebed en beginsel scheiding kerk en staat, zaaknr 607044, 20190902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2"/>
        Brf Ministerie BZK, Verhouding ambtsgebed en beginsel scheiding kerk en staat, zaaknr 607044, 20190902
        <text:bookmark-end text:name="419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Ministerie BZK, Verhouding ambtsgebed en beginsel scheiding kerk en staat, zaaknr 607044, 20190902
              <text:span text:style-name="T3"/>
            </text:p>
            <text:p text:style-name="P7"/>
          </table:table-cell>
          <table:table-cell table:style-name="Table4.A2" office:value-type="string">
            <text:p text:style-name="P8">02-09-2019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inisterie-BZK-Verhouding-ambtsgebed-en-beginsel-scheiding-kerk-en-staat-zaaknr-607044-201909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71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