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07:52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61" w:history="1">
        <w:r>
          <w:rPr>
            <w:rFonts w:ascii="Arial" w:hAnsi="Arial" w:eastAsia="Arial" w:cs="Arial"/>
            <w:color w:val="155CAA"/>
            <w:u w:val="single"/>
          </w:rPr>
          <w:t xml:space="preserve">1 Brf Ministerie BZK, Openbaarmaking nevenfuncties en inkomsten collegeleden, zaaknr 608335, 20191003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61"/>
      <w:r w:rsidRPr="00A448AC">
        <w:rPr>
          <w:rFonts w:ascii="Arial" w:hAnsi="Arial" w:cs="Arial"/>
          <w:b/>
          <w:bCs/>
          <w:color w:val="303F4C"/>
          <w:lang w:val="en-US"/>
        </w:rPr>
        <w:t>Brf Ministerie BZK, Openbaarmaking nevenfuncties en inkomsten collegeleden, zaaknr 608335, 20191003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16-12-2019 10:11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Ministerie BZK, Openbaarmaking nevenfuncties en inkomsten collegeleden, zaaknr 608335, 20191003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03-10-2019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87,95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Brf-Ministerie-BZK-Openbaarmaking-nevenfuncties-en-inkomsten-collegeleden-zaaknr-608335-2019100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