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9" w:history="1">
        <w:r>
          <w:rPr>
            <w:rFonts w:ascii="Arial" w:hAnsi="Arial" w:eastAsia="Arial" w:cs="Arial"/>
            <w:color w:val="155CAA"/>
            <w:u w:val="single"/>
          </w:rPr>
          <w:t xml:space="preserve">1 Brf Min v Binnenlandse Zkn en Koninkrijksrel, Circulaire aanpassing pensioenen en inhoudingen Appa, zaaknr 595066, 20190107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9"/>
      <w:r w:rsidRPr="00A448AC">
        <w:rPr>
          <w:rFonts w:ascii="Arial" w:hAnsi="Arial" w:cs="Arial"/>
          <w:b/>
          <w:bCs/>
          <w:color w:val="303F4C"/>
          <w:lang w:val="en-US"/>
        </w:rPr>
        <w:t>Brf Min v Binnenlandse Zkn en Koninkrijksrel, Circulaire aanpassing pensioenen en inhoudingen Appa, zaaknr 595066, 20190107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v Binnenlandse Zkn en Koninkrijksrel, Circulaire aanpassing pensioenen en inhoudingen Appa, zaaknr 595066, 20190107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Min-v-Binnenlandse-Zkn-en-Koninkrijksrel-Circulaire-aanpassing-pensioenen-en-inhoudingen-Appa-zaaknr-595066-2019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