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52" w:history="1">
        <w:r>
          <w:rPr>
            <w:rFonts w:ascii="Arial" w:hAnsi="Arial" w:eastAsia="Arial" w:cs="Arial"/>
            <w:color w:val="155CAA"/>
            <w:u w:val="single"/>
          </w:rPr>
          <w:t xml:space="preserve">1 Brf Milieudefensie, Publicatie lokale zaken in het geding door CETA-verdrag, zaaknr 607884, 20190926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52"/>
      <w:r w:rsidRPr="00A448AC">
        <w:rPr>
          <w:rFonts w:ascii="Arial" w:hAnsi="Arial" w:cs="Arial"/>
          <w:b/>
          <w:bCs/>
          <w:color w:val="303F4C"/>
          <w:lang w:val="en-US"/>
        </w:rPr>
        <w:t>Brf Milieudefensie, Publicatie lokale zaken in het geding door CETA-verdrag, zaaknr 607884, 20190926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Milieudefensie, Publicatie lokale zaken in het geding door CETA-verdrag, zaaknr 607884, 20190926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Milieudefensie-Publicatie-lokale-zaken-in-het-geding-door-CETA-verdrag-zaaknr-607884-201909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