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8" text:style-name="Internet_20_link" text:visited-style-name="Visited_20_Internet_20_Link">
              <text:span text:style-name="ListLabel_20_28">
                <text:span text:style-name="T8">1 Brf, MKB-Nederland Regio Zwolle, Visie Meerjarige Agenda Regio Zwolle 2024-2028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8"/>
        Brf, MKB-Nederland Regio Zwolle, Visie Meerjarige Agenda Regio Zwolle 2024-2028
        <text:bookmark-end text:name="431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04-05-2023 11:59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MKB-Nederland Regio Zwolle, Visie Meerjarige Agenda Regio Zwolle 2024-2028, 20230502
              <text:span text:style-name="T3"/>
            </text:p>
            <text:p text:style-name="P7"/>
          </table:table-cell>
          <table:table-cell table:style-name="Table4.A2" office:value-type="string">
            <text:p text:style-name="P8">04-05-2023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MKB-Nederland-Regio-Zwolle-Visie-Meerjarige-Agenda-Regio-Zwolle-2024-2028-202305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510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