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6" w:history="1">
        <w:r>
          <w:rPr>
            <w:rFonts w:ascii="Arial" w:hAnsi="Arial" w:eastAsia="Arial" w:cs="Arial"/>
            <w:color w:val="155CAA"/>
            <w:u w:val="single"/>
          </w:rPr>
          <w:t xml:space="preserve">1 Brf Landschap Overijssel, Energietransitie RES, zaaknr 629803, 20210204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6"/>
      <w:r w:rsidRPr="00A448AC">
        <w:rPr>
          <w:rFonts w:ascii="Arial" w:hAnsi="Arial" w:cs="Arial"/>
          <w:b/>
          <w:bCs/>
          <w:color w:val="303F4C"/>
          <w:lang w:val="en-US"/>
        </w:rPr>
        <w:t>Brf Landschap Overijssel, Energietransitie RES, zaaknr 629803, 20210204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Landschap Overijssel, Energietransitie RES, zaaknr 629803, 20210204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Landschap-Overijssel-Energietransitie-RES-zaaknr-629803-202102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