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46" text:style-name="Internet_20_link" text:visited-style-name="Visited_20_Internet_20_Link">
              <text:span text:style-name="ListLabel_20_28">
                <text:span text:style-name="T8">1 Brf Landschap Overijssel, Energietransitie RES, zaaknr 629803, 20210204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46"/>
        Brf Landschap Overijssel, Energietransitie RES, zaaknr 629803, 20210204
        <text:bookmark-end text:name="423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Landschap Overijssel, Energietransitie RES, zaaknr 629803, 20210204
              <text:span text:style-name="T3"/>
            </text:p>
            <text:p text:style-name="P7"/>
          </table:table-cell>
          <table:table-cell table:style-name="Table4.A2" office:value-type="string">
            <text:p text:style-name="P8">04-02-2021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8,51 MB</text:p>
          </table:table-cell>
          <table:table-cell table:style-name="Table4.A2" office:value-type="string">
            <text:p text:style-name="P33">
              <text:a xlink:type="simple" xlink:href="https://ris.dalfsen.nl//Raadsinformatie/Bijlage/Brf-Landschap-Overijssel-Energietransitie-RES-zaaknr-629803-202102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76" meta:non-whitespace-character-count="4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2039715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2039715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