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7" w:history="1">
        <w:r>
          <w:rPr>
            <w:rFonts w:ascii="Arial" w:hAnsi="Arial" w:eastAsia="Arial" w:cs="Arial"/>
            <w:color w:val="155CAA"/>
            <w:u w:val="single"/>
          </w:rPr>
          <w:t xml:space="preserve">1 Brf LTO Vechtdal, Landbouwvisie Vechtdalgemeenten 2021, zaaknr 630964, 20210302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7"/>
      <w:r w:rsidRPr="00A448AC">
        <w:rPr>
          <w:rFonts w:ascii="Arial" w:hAnsi="Arial" w:cs="Arial"/>
          <w:b/>
          <w:bCs/>
          <w:color w:val="303F4C"/>
          <w:lang w:val="en-US"/>
        </w:rPr>
        <w:t>Brf LTO Vechtdal, Landbouwvisie Vechtdalgemeenten 2021, zaaknr 630964,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LTO Vechtdal, Landbouwvisie Vechtdalgemeenten 2021, zaaknr 630964,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TO-Vechtdal-Landbouwvisie-Vechtdalgemeenten-2021-zaaknr-630964-2021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