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7" w:history="1">
        <w:r>
          <w:rPr>
            <w:rFonts w:ascii="Arial" w:hAnsi="Arial" w:eastAsia="Arial" w:cs="Arial"/>
            <w:color w:val="155CAA"/>
            <w:u w:val="single"/>
          </w:rPr>
          <w:t xml:space="preserve">1 Brf Kopgroep Gemeenschappelijke regelingen, Voortgang uitwerking 3 thema’s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7"/>
      <w:r w:rsidRPr="00A448AC">
        <w:rPr>
          <w:rFonts w:ascii="Arial" w:hAnsi="Arial" w:cs="Arial"/>
          <w:b/>
          <w:bCs/>
          <w:color w:val="303F4C"/>
          <w:lang w:val="en-US"/>
        </w:rPr>
        <w:t>Brf Kopgroep Gemeenschappelijke regelingen, Voortgang uitwerking 3 thema’s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Gemeenschappelijke regelingen, Voortgang uitwerking 3 thema’s,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Kopgroep-Gemeenschappelijke-regelingen-Voortgang-uitwerking-3-thema-s-202503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