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17" text:style-name="Internet_20_link" text:visited-style-name="Visited_20_Internet_20_Link">
              <text:span text:style-name="ListLabel_20_28">
                <text:span text:style-name="T8">1 Brf, Klacht - wraking - woo - aanprakelijkheidstelling OD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17"/>
        Brf, Klacht - wraking - woo - aanprakelijkheidstelling OD IJsselland
        <text:bookmark-end text:name="437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25-02-2025 16:10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Klacht - wraking - woo - aanprakelijkheidstelling OD IJsselland, 20250225
              <text:span text:style-name="T3"/>
            </text:p>
            <text:p text:style-name="P7"/>
          </table:table-cell>
          <table:table-cell table:style-name="Table4.A2" office:value-type="string">
            <text:p text:style-name="P8">25-02-2025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268,55 KB</text:p>
          </table:table-cell>
          <table:table-cell table:style-name="Table4.A2" office:value-type="string">
            <text:p text:style-name="P33">
              <text:a xlink:type="simple" xlink:href="https://ris.dalfsen.nl//Raadsinformatie/Brf-Klacht-wraking-woo-aanprakelijkheidstelling-OD-IJsselland-202502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2" meta:character-count="479" meta:non-whitespace-character-count="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1449967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1449967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