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79" text:style-name="Internet_20_link" text:visited-style-name="Visited_20_Internet_20_Link">
              <text:span text:style-name="ListLabel_20_28">
                <text:span text:style-name="T8">1 Brf Kinderopvang Mathil, Leges voor exploitatie van Kinderopvang en gastouderopvang, zaaknr 627427, 20201208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79"/>
        Brf Kinderopvang Mathil, Leges voor exploitatie van Kinderopvang en gastouderopvang, zaaknr 627427, 20201208
        <text:bookmark-end text:name="422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03-10-2022 12:11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Kinderopvang Mathil, Leges voor exploitatie van Kinderopvang en gastouderopvang, zaaknr 627427, 20201208
              <text:span text:style-name="T3"/>
            </text:p>
            <text:p text:style-name="P7"/>
          </table:table-cell>
          <table:table-cell table:style-name="Table4.A2" office:value-type="string">
            <text:p text:style-name="P8">08-12-2020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69,46 KB</text:p>
          </table:table-cell>
          <table:table-cell table:style-name="Table4.A2" office:value-type="string">
            <text:p text:style-name="P33">
              <text:a xlink:type="simple" xlink:href="https://ris.dalfsen.nl//Raadsinformatie/Bijlage/brf-Kinderopvang-Mathil-Leges-voor-exploitatie-van-Kinderopvang-en-gastouderopvang-zaaknr-627427-20201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88" meta:non-whitespace-character-count="5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