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7" w:history="1">
        <w:r>
          <w:rPr>
            <w:rFonts w:ascii="Arial" w:hAnsi="Arial" w:eastAsia="Arial" w:cs="Arial"/>
            <w:color w:val="155CAA"/>
            <w:u w:val="single"/>
          </w:rPr>
          <w:t xml:space="preserve">1 Brf JOGG, Gezond opgroeien in een gezonde leefomgeving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7"/>
      <w:r w:rsidRPr="00A448AC">
        <w:rPr>
          <w:rFonts w:ascii="Arial" w:hAnsi="Arial" w:cs="Arial"/>
          <w:b/>
          <w:bCs/>
          <w:color w:val="303F4C"/>
          <w:lang w:val="en-US"/>
        </w:rPr>
        <w:t>Brf JOGG, Gezond opgroeien in een gezonde leefomgeving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16:38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JOGG, Gezond opgroeien in een gezonde leefomgeving,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JOGG-Gezond-opgroeien-in-een-gezonde-leefomgeving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