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65" w:history="1">
        <w:r>
          <w:rPr>
            <w:rFonts w:ascii="Arial" w:hAnsi="Arial" w:eastAsia="Arial" w:cs="Arial"/>
            <w:color w:val="155CAA"/>
            <w:u w:val="single"/>
          </w:rPr>
          <w:t xml:space="preserve">1 Brf, Griffiers en Gemeenschappelijke regelingen IJsselland, Notitie wijzigingen Wgr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65"/>
      <w:r w:rsidRPr="00A448AC">
        <w:rPr>
          <w:rFonts w:ascii="Arial" w:hAnsi="Arial" w:cs="Arial"/>
          <w:b/>
          <w:bCs/>
          <w:color w:val="303F4C"/>
          <w:lang w:val="en-US"/>
        </w:rPr>
        <w:t>Brf, Griffiers en Gemeenschappelijke regelingen IJsselland, Notitie wijzigingen Wgr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09-02-2023 10:24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Griffiers en Gemeenschappelijke regelingen IJsselland, Notitie wijzigingen Wgr, zaaknr 678391, 20230208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riffiers-en-Gemeenschappelijke-regelingen-IJsselland-Notitie-wijzigingen-Wgr-zaaknr-678391-202302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