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65" text:style-name="Internet_20_link" text:visited-style-name="Visited_20_Internet_20_Link">
              <text:span text:style-name="ListLabel_20_28">
                <text:span text:style-name="T8">1 Brf, Griffiers en Gemeenschappelijke regelingen IJsselland, Notitie wijzigingen Wgr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65"/>
        Brf, Griffiers en Gemeenschappelijke regelingen IJsselland, Notitie wijzigingen Wgr
        <text:bookmark-end text:name="430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09-02-2023 10:24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Griffiers en Gemeenschappelijke regelingen IJsselland, Notitie wijzigingen Wgr, zaaknr 678391, 20230208
              <text:span text:style-name="T3"/>
            </text:p>
            <text:p text:style-name="P7"/>
          </table:table-cell>
          <table:table-cell table:style-name="Table4.A2" office:value-type="string">
            <text:p text:style-name="P8">09-02-2023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203,79 KB</text:p>
          </table:table-cell>
          <table:table-cell table:style-name="Table4.A2" office:value-type="string">
            <text:p text:style-name="P33">
              <text:a xlink:type="simple" xlink:href="https://ris.dalfsen.nl//Raadsinformatie/Bijlage/Brf-Griffiers-en-Gemeenschappelijke-regelingen-IJsselland-Notitie-wijzigingen-Wgr-zaaknr-678391-2023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39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