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04:33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47" w:history="1">
        <w:r>
          <w:rPr>
            <w:rFonts w:ascii="Arial" w:hAnsi="Arial" w:eastAsia="Arial" w:cs="Arial"/>
            <w:color w:val="155CAA"/>
            <w:u w:val="single"/>
          </w:rPr>
          <w:t xml:space="preserve">1 Brf GLBT, reactie zienswijze en begroting 2022, zaaknr 639032, 20210824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47"/>
      <w:r w:rsidRPr="00A448AC">
        <w:rPr>
          <w:rFonts w:ascii="Arial" w:hAnsi="Arial" w:cs="Arial"/>
          <w:b/>
          <w:bCs/>
          <w:color w:val="303F4C"/>
          <w:lang w:val="en-US"/>
        </w:rPr>
        <w:t>Brf GLBT, reactie zienswijze en begroting 2022, zaaknr 639032, 20210824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15:00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GLBT, reactie zienswijze en begroting 2022, zaaknr 639032, 20210824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24-08-2021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459,09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GLBT-reactie-zienswijze-en-begroting-2022-zaaknr-639032-202108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