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6" w:history="1">
        <w:r>
          <w:rPr>
            <w:rFonts w:ascii="Arial" w:hAnsi="Arial" w:eastAsia="Arial" w:cs="Arial"/>
            <w:color w:val="155CAA"/>
            <w:u w:val="single"/>
          </w:rPr>
          <w:t xml:space="preserve">1 Brf FNV Voor 14, Toereikende minimumlonen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6"/>
      <w:r w:rsidRPr="00A448AC">
        <w:rPr>
          <w:rFonts w:ascii="Arial" w:hAnsi="Arial" w:cs="Arial"/>
          <w:b/>
          <w:bCs/>
          <w:color w:val="303F4C"/>
          <w:lang w:val="en-US"/>
        </w:rPr>
        <w:t>Brf FNV Voor 14, Toereikende minimumlonen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FNV Voor 14, Toereikende minimumlonen, 20230803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FNV-Voor-14-Toereikende-minimumlonen-202308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